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1,336,609.00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1,336,609.00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1,336,609.00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2,520,937.00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2,520,937.00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2,520,937.00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2,520,937.00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2,520,937.00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2,520,937.00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2,520,937.00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2,520,937.00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2,520,937.00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0"/>
        <w:gridCol w:w="8920"/>
        <w:gridCol w:w="155"/>
      </w:tblGrid>
      <w:tr>
        <w:trPr/>
        <w:tc>
          <w:tcPr>
            <w:tcW w:w="1130" w:type="dxa"/>
            <w:tcBorders/>
            <w:vAlign w:val="center"/>
          </w:tcPr>
          <w:p>
            <w:pPr>
              <w:pStyle w:val="TableContents"/>
              <w:bidi w:val="0"/>
              <w:spacing w:before="0" w:after="283"/>
              <w:jc w:val="left"/>
              <w:rPr/>
            </w:pPr>
            <w:r>
              <w:rPr/>
              <w:t>Item 1.</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issuer: </w:t>
            </w:r>
          </w:p>
          <w:p>
            <w:pPr>
              <w:pStyle w:val="TableContents"/>
              <w:bidi w:val="0"/>
              <w:spacing w:before="0" w:after="0"/>
              <w:jc w:val="left"/>
              <w:rPr/>
            </w:pPr>
            <w:r>
              <w:rPr/>
              <w:t>ARS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11682 El Camino Real, Suite 300, San Diego, California 92130</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2.</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3.</w:t>
            </w:r>
          </w:p>
        </w:tc>
        <w:tc>
          <w:tcPr>
            <w:tcW w:w="892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(f)</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(g)</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(h)</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(j)</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(k)</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4.</w:t>
            </w:r>
          </w:p>
        </w:tc>
        <w:tc>
          <w:tcPr>
            <w:tcW w:w="892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5.</w:t>
            </w:r>
          </w:p>
        </w:tc>
        <w:tc>
          <w:tcPr>
            <w:tcW w:w="892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892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7.</w:t>
            </w:r>
          </w:p>
        </w:tc>
        <w:tc>
          <w:tcPr>
            <w:tcW w:w="892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8.</w:t>
            </w:r>
          </w:p>
        </w:tc>
        <w:tc>
          <w:tcPr>
            <w:tcW w:w="892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9.</w:t>
            </w:r>
          </w:p>
        </w:tc>
        <w:tc>
          <w:tcPr>
            <w:tcW w:w="892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13,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20506d1_ex-1.htm"/>
      <w:bookmarkStart w:id="29" w:name="kstm2620506d1_ex1"/>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ARS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13,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423"/>
        <w:gridCol w:w="3421"/>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INTEGRATED CORE STRATEGIES (US)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Integrated Holding Group LP,</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Managing Member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 xml:space="preserve">Title: Global General Counsel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1594</Words>
  <Characters>8328</Characters>
  <CharactersWithSpaces>9893</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